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65FAA3" w14:textId="750FE0AA" w:rsidR="00024A87" w:rsidRPr="004D3E1D" w:rsidRDefault="00512630" w:rsidP="004D3E1D">
      <w:pPr>
        <w:spacing w:line="240" w:lineRule="auto"/>
        <w:jc w:val="center"/>
        <w:rPr>
          <w:b/>
          <w:bCs/>
          <w:sz w:val="30"/>
          <w:szCs w:val="30"/>
        </w:rPr>
      </w:pPr>
      <w:r>
        <w:br/>
      </w:r>
      <w:r w:rsidR="004D3E1D" w:rsidRPr="004D3E1D">
        <w:rPr>
          <w:b/>
          <w:bCs/>
          <w:sz w:val="30"/>
          <w:szCs w:val="30"/>
        </w:rPr>
        <w:t>BISON CAPITAL PARTNERS V, LP ANNOUNCES</w:t>
      </w:r>
      <w:r w:rsidR="004D3E1D" w:rsidRPr="004D3E1D">
        <w:rPr>
          <w:b/>
          <w:bCs/>
          <w:sz w:val="30"/>
          <w:szCs w:val="30"/>
        </w:rPr>
        <w:br/>
        <w:t>SALE OF AQUA EXPEDITIONS</w:t>
      </w:r>
    </w:p>
    <w:p w14:paraId="1F92329F" w14:textId="77777777" w:rsidR="004D3E1D" w:rsidRDefault="004D3E1D">
      <w:pPr>
        <w:spacing w:line="240" w:lineRule="auto"/>
        <w:jc w:val="both"/>
        <w:rPr>
          <w:b/>
          <w:bCs/>
        </w:rPr>
      </w:pPr>
    </w:p>
    <w:p w14:paraId="0A629BF1" w14:textId="3415D4CC" w:rsidR="00161689" w:rsidRDefault="00512630">
      <w:pPr>
        <w:spacing w:line="240" w:lineRule="auto"/>
        <w:jc w:val="both"/>
      </w:pPr>
      <w:r>
        <w:rPr>
          <w:b/>
          <w:bCs/>
        </w:rPr>
        <w:t>Santa Monica, CA (J</w:t>
      </w:r>
      <w:r w:rsidR="00DF4F3F">
        <w:rPr>
          <w:b/>
          <w:bCs/>
        </w:rPr>
        <w:t>anuary</w:t>
      </w:r>
      <w:r w:rsidR="00480291">
        <w:rPr>
          <w:b/>
          <w:bCs/>
        </w:rPr>
        <w:t xml:space="preserve"> </w:t>
      </w:r>
      <w:r w:rsidR="00DF4F3F">
        <w:rPr>
          <w:b/>
          <w:bCs/>
        </w:rPr>
        <w:t>16</w:t>
      </w:r>
      <w:r w:rsidR="00480291">
        <w:rPr>
          <w:b/>
          <w:bCs/>
        </w:rPr>
        <w:t>,</w:t>
      </w:r>
      <w:r>
        <w:rPr>
          <w:b/>
          <w:bCs/>
        </w:rPr>
        <w:t xml:space="preserve"> 202</w:t>
      </w:r>
      <w:r w:rsidR="00DF4F3F">
        <w:rPr>
          <w:b/>
          <w:bCs/>
        </w:rPr>
        <w:t>5</w:t>
      </w:r>
      <w:r>
        <w:rPr>
          <w:b/>
          <w:bCs/>
        </w:rPr>
        <w:t>):</w:t>
      </w:r>
      <w:r>
        <w:t xml:space="preserve"> </w:t>
      </w:r>
      <w:r w:rsidR="00272EE2">
        <w:t>Aqua Expeditions</w:t>
      </w:r>
      <w:r w:rsidR="00816955">
        <w:t xml:space="preserve"> PTE. LTD.</w:t>
      </w:r>
      <w:r w:rsidR="00272EE2">
        <w:t xml:space="preserve"> (“Aqua” or the “Company”), a portfolio company of </w:t>
      </w:r>
      <w:r>
        <w:t>Bison Capital Partners V, LP (“Bison Capital”)</w:t>
      </w:r>
      <w:r w:rsidR="00272EE2">
        <w:t>,</w:t>
      </w:r>
      <w:r>
        <w:t xml:space="preserve"> has announced </w:t>
      </w:r>
      <w:r w:rsidR="00AD61EA">
        <w:t>the</w:t>
      </w:r>
      <w:r w:rsidR="00DF4F3F">
        <w:t xml:space="preserve"> sale </w:t>
      </w:r>
      <w:r w:rsidR="00AD61EA">
        <w:t xml:space="preserve">of Aqua </w:t>
      </w:r>
      <w:r w:rsidR="000345C7">
        <w:t xml:space="preserve">to </w:t>
      </w:r>
      <w:r w:rsidR="000F47F2">
        <w:t>Ponant Explorations Group (“Ponant”)</w:t>
      </w:r>
      <w:r w:rsidR="00503BEA">
        <w:t xml:space="preserve">, a subsidiary of </w:t>
      </w:r>
      <w:r w:rsidR="00713FF0">
        <w:t>Art</w:t>
      </w:r>
      <w:r w:rsidR="00691154" w:rsidRPr="00691154">
        <w:t>é</w:t>
      </w:r>
      <w:r w:rsidR="00713FF0">
        <w:t>mis Group (“Art</w:t>
      </w:r>
      <w:r w:rsidR="00691154" w:rsidRPr="00691154">
        <w:t>é</w:t>
      </w:r>
      <w:r w:rsidR="00713FF0">
        <w:t>mis”)</w:t>
      </w:r>
      <w:r w:rsidR="000F47F2">
        <w:t xml:space="preserve">. </w:t>
      </w:r>
      <w:r w:rsidR="00D56A4F">
        <w:t xml:space="preserve">Aqua is </w:t>
      </w:r>
      <w:r w:rsidR="000747EA">
        <w:t>a</w:t>
      </w:r>
      <w:r w:rsidR="00CE3A95">
        <w:t>n</w:t>
      </w:r>
      <w:r w:rsidR="00990FB5">
        <w:t xml:space="preserve"> </w:t>
      </w:r>
      <w:r w:rsidR="00990FB5" w:rsidRPr="00990FB5">
        <w:t>award-winning small ship expedition company renowned for its exceptional river and ocean cruises in South America, Southeast Asia</w:t>
      </w:r>
      <w:r w:rsidR="00730444">
        <w:t>,</w:t>
      </w:r>
      <w:r w:rsidR="00990FB5" w:rsidRPr="00990FB5">
        <w:t xml:space="preserve"> and beyond</w:t>
      </w:r>
      <w:r w:rsidR="006514F4">
        <w:t xml:space="preserve">. </w:t>
      </w:r>
      <w:r w:rsidR="008F112A">
        <w:t xml:space="preserve">Bison Capital invested in Aqua in </w:t>
      </w:r>
      <w:r w:rsidR="00F963B0">
        <w:t xml:space="preserve">November of 2018. </w:t>
      </w:r>
    </w:p>
    <w:p w14:paraId="04052C8B" w14:textId="77777777" w:rsidR="00161689" w:rsidRDefault="00161689">
      <w:pPr>
        <w:spacing w:line="240" w:lineRule="auto"/>
        <w:jc w:val="both"/>
      </w:pPr>
    </w:p>
    <w:p w14:paraId="5748E390" w14:textId="36E5516A" w:rsidR="00271ABE" w:rsidRDefault="004A3414" w:rsidP="00816955">
      <w:pPr>
        <w:spacing w:after="160" w:line="240" w:lineRule="auto"/>
        <w:jc w:val="both"/>
      </w:pPr>
      <w:r>
        <w:t xml:space="preserve">Aqua operates </w:t>
      </w:r>
      <w:r w:rsidR="00CB772A" w:rsidRPr="00CB772A">
        <w:t>small ships in biodiversity hotspots such as the Galápagos, Raja Ampat, Komodo, Spice Islands, the Mekong River, and the Peruvian Amazon River</w:t>
      </w:r>
      <w:r w:rsidR="00CB772A">
        <w:t xml:space="preserve">. </w:t>
      </w:r>
      <w:r w:rsidR="006E309E">
        <w:t>Francesco Galli Zugaro, CEO and Founder of Aqua, will remain as a shareholder and along with his senior management team,</w:t>
      </w:r>
      <w:r w:rsidR="00634B39">
        <w:t xml:space="preserve"> </w:t>
      </w:r>
      <w:r w:rsidR="007E19C4">
        <w:t xml:space="preserve">continue expanding </w:t>
      </w:r>
      <w:r w:rsidR="00806484">
        <w:t xml:space="preserve">the Company’s footprint globally </w:t>
      </w:r>
      <w:r w:rsidR="002A2A6A">
        <w:t xml:space="preserve">as a destination specialist. </w:t>
      </w:r>
      <w:r w:rsidR="009337BD">
        <w:t xml:space="preserve">The transaction comes at a </w:t>
      </w:r>
      <w:r w:rsidR="00573549" w:rsidRPr="00573549">
        <w:t>pivotal time as Aqua ramps up the launch of its East Africa itineraries, exploring the Seychelles and Tanzania</w:t>
      </w:r>
      <w:r w:rsidR="00FF3440">
        <w:t xml:space="preserve">. </w:t>
      </w:r>
    </w:p>
    <w:p w14:paraId="2EBBFB2A" w14:textId="55CF2EC3" w:rsidR="006A5DFC" w:rsidRDefault="00FE3C9D" w:rsidP="000C53F1">
      <w:pPr>
        <w:spacing w:line="240" w:lineRule="auto"/>
        <w:jc w:val="both"/>
      </w:pPr>
      <w:r>
        <w:t xml:space="preserve">“Joining forces with Ponant </w:t>
      </w:r>
      <w:r w:rsidR="002F4B53">
        <w:t>and having the support of Art</w:t>
      </w:r>
      <w:r w:rsidR="00691154" w:rsidRPr="00691154">
        <w:t>é</w:t>
      </w:r>
      <w:r w:rsidR="002F4B53">
        <w:t>mis</w:t>
      </w:r>
      <w:r w:rsidR="00691154">
        <w:t xml:space="preserve"> </w:t>
      </w:r>
      <w:r w:rsidR="002F4B53">
        <w:t>is a remarkable opportunity for Aqua,” said Francesco Galli Zugaro</w:t>
      </w:r>
      <w:r w:rsidR="00A607F0">
        <w:t>. “</w:t>
      </w:r>
      <w:r w:rsidR="007F5E21">
        <w:t>We are thankful to have had the opportunity to partner with Bison Capital</w:t>
      </w:r>
      <w:r w:rsidR="000D60EA">
        <w:t xml:space="preserve">, whose </w:t>
      </w:r>
      <w:r w:rsidR="0002434B">
        <w:t>expertise and hands-on approach were integral in helping Aqua reach this successful outcome</w:t>
      </w:r>
      <w:r w:rsidR="000D60EA">
        <w:t>. Bison</w:t>
      </w:r>
      <w:r w:rsidR="00815B91">
        <w:t xml:space="preserve"> </w:t>
      </w:r>
      <w:r w:rsidR="007D0736">
        <w:t>provided unwavering support</w:t>
      </w:r>
      <w:r w:rsidR="000C53F1">
        <w:t>, h</w:t>
      </w:r>
      <w:r w:rsidR="007D0736">
        <w:t xml:space="preserve">elping us </w:t>
      </w:r>
      <w:r w:rsidR="00815B91">
        <w:t xml:space="preserve">navigate a particularly </w:t>
      </w:r>
      <w:r w:rsidR="000C53F1">
        <w:t xml:space="preserve">challenging </w:t>
      </w:r>
      <w:r w:rsidR="00815B91">
        <w:t xml:space="preserve">time </w:t>
      </w:r>
      <w:r w:rsidR="001C2AC9">
        <w:t>for</w:t>
      </w:r>
      <w:r w:rsidR="007D0736">
        <w:t xml:space="preserve"> the industry through the global pandemic</w:t>
      </w:r>
      <w:r w:rsidR="00392CAA">
        <w:t xml:space="preserve"> and empowering us to achieve considerable growth</w:t>
      </w:r>
      <w:r w:rsidR="00EF1E43">
        <w:t>.”</w:t>
      </w:r>
    </w:p>
    <w:p w14:paraId="3C11AA8E" w14:textId="77777777" w:rsidR="00AB216F" w:rsidRDefault="00AB216F">
      <w:pPr>
        <w:spacing w:line="240" w:lineRule="auto"/>
        <w:jc w:val="both"/>
      </w:pPr>
    </w:p>
    <w:p w14:paraId="5602535D" w14:textId="06AEE3CC" w:rsidR="00AD45B4" w:rsidRDefault="00AD45B4" w:rsidP="00AD45B4">
      <w:pPr>
        <w:spacing w:line="240" w:lineRule="auto"/>
        <w:jc w:val="both"/>
      </w:pPr>
      <w:r w:rsidRPr="007A05A1">
        <w:t>“</w:t>
      </w:r>
      <w:r>
        <w:t>It has been a privilege t</w:t>
      </w:r>
      <w:r w:rsidR="00392CAA">
        <w:t>o</w:t>
      </w:r>
      <w:r>
        <w:t xml:space="preserve"> partner with </w:t>
      </w:r>
      <w:r w:rsidR="00392CAA">
        <w:t xml:space="preserve">Francesco. We are </w:t>
      </w:r>
      <w:r w:rsidR="001C2AC9">
        <w:t>proud</w:t>
      </w:r>
      <w:r w:rsidR="00392CAA">
        <w:t xml:space="preserve"> to have played a role in enabling </w:t>
      </w:r>
      <w:r>
        <w:t>this organization</w:t>
      </w:r>
      <w:r w:rsidR="00AD61EA">
        <w:t xml:space="preserve"> and the Aqua team to reach this</w:t>
      </w:r>
      <w:r w:rsidR="001C2AC9">
        <w:t xml:space="preserve"> significant</w:t>
      </w:r>
      <w:r w:rsidR="00AD61EA">
        <w:t xml:space="preserve"> milestone. We are excited about the tremendous</w:t>
      </w:r>
      <w:r>
        <w:t xml:space="preserve"> opportunit</w:t>
      </w:r>
      <w:r w:rsidR="00AD61EA">
        <w:t>ies</w:t>
      </w:r>
      <w:r>
        <w:t xml:space="preserve"> ahead for Aqua as the Company continues </w:t>
      </w:r>
      <w:r w:rsidR="00AD61EA">
        <w:t>to</w:t>
      </w:r>
      <w:r>
        <w:t xml:space="preserve"> expand its offering into new geographies,” said John Voge, Principal at Bison Capital. </w:t>
      </w:r>
    </w:p>
    <w:p w14:paraId="5A8249CB" w14:textId="77777777" w:rsidR="00B6565C" w:rsidRDefault="00B6565C">
      <w:pPr>
        <w:spacing w:line="240" w:lineRule="auto"/>
        <w:jc w:val="both"/>
      </w:pPr>
    </w:p>
    <w:p w14:paraId="278B08AE" w14:textId="7BCF68EA" w:rsidR="00AD45B4" w:rsidRDefault="00B37153">
      <w:pPr>
        <w:spacing w:line="240" w:lineRule="auto"/>
        <w:jc w:val="both"/>
      </w:pPr>
      <w:r>
        <w:t xml:space="preserve">Robert W. </w:t>
      </w:r>
      <w:r w:rsidR="00861B02">
        <w:t xml:space="preserve">Baird </w:t>
      </w:r>
      <w:r>
        <w:t xml:space="preserve">&amp; Co. </w:t>
      </w:r>
      <w:r w:rsidR="00861B02">
        <w:t xml:space="preserve">served as exclusive financial advisor to Aqua Expeditions on this transaction. </w:t>
      </w:r>
    </w:p>
    <w:p w14:paraId="3DC460B6" w14:textId="77777777" w:rsidR="004707EF" w:rsidRDefault="004707EF">
      <w:pPr>
        <w:spacing w:line="240" w:lineRule="auto"/>
        <w:jc w:val="both"/>
      </w:pPr>
    </w:p>
    <w:p w14:paraId="6DEBC329" w14:textId="16FA5B17" w:rsidR="00161689" w:rsidRDefault="00512630">
      <w:pPr>
        <w:spacing w:line="240" w:lineRule="auto"/>
        <w:jc w:val="both"/>
      </w:pPr>
      <w:r>
        <w:rPr>
          <w:b/>
          <w:bCs/>
        </w:rPr>
        <w:t xml:space="preserve">ABOUT </w:t>
      </w:r>
      <w:r w:rsidR="00BA263C">
        <w:rPr>
          <w:b/>
          <w:bCs/>
        </w:rPr>
        <w:t>AQUA EXPEDITIONS</w:t>
      </w:r>
    </w:p>
    <w:p w14:paraId="08AAFC07" w14:textId="77777777" w:rsidR="00161689" w:rsidRDefault="00161689">
      <w:pPr>
        <w:spacing w:line="240" w:lineRule="auto"/>
        <w:jc w:val="both"/>
      </w:pPr>
    </w:p>
    <w:p w14:paraId="27D3C40E" w14:textId="157E9405" w:rsidR="007A05A1" w:rsidRPr="007A05A1" w:rsidRDefault="00BA263C">
      <w:pPr>
        <w:spacing w:after="160" w:line="240" w:lineRule="auto"/>
        <w:jc w:val="both"/>
      </w:pPr>
      <w:r w:rsidRPr="00BA263C">
        <w:t>A recognized global leader in luxury small-ship expeditions, Aqua Expeditions explores the world’s most biodiverse and culturally significant destinations aboard best-in-class vessels of stylish contemporary design. Expect tailored five-star itineraries, a highly exclusive 1:1 crew-to-guest ratio with personalized service, world-class dining, and small group expert-guided activities and excursions, with a maximum of 16-40 guests per ship. Aqua Expeditions currently operates river explorations in the Peruvian Amazon and the Mekong Delta (Cambodia and Vietnam), and coastal yacht voyages in East Indonesia — Komodo National Park, Ambon and the Spice Islands, Raja Ampat, and Asmat — and the Galapagos Islands.</w:t>
      </w:r>
      <w:r w:rsidR="00686E2C" w:rsidRPr="007A05A1">
        <w:t xml:space="preserve"> </w:t>
      </w:r>
    </w:p>
    <w:p w14:paraId="1CBCD481" w14:textId="77B7CDA7" w:rsidR="00B6565C" w:rsidRPr="001C2AC9" w:rsidRDefault="00816955" w:rsidP="001C2AC9">
      <w:pPr>
        <w:spacing w:after="160" w:line="240" w:lineRule="auto"/>
        <w:jc w:val="both"/>
        <w:rPr>
          <w:b/>
          <w:bCs/>
          <w:color w:val="0563C1"/>
          <w:u w:val="single"/>
        </w:rPr>
      </w:pPr>
      <w:hyperlink r:id="rId11" w:history="1">
        <w:r w:rsidRPr="001C2AC9">
          <w:rPr>
            <w:b/>
            <w:bCs/>
            <w:color w:val="0563C1"/>
            <w:u w:val="single"/>
          </w:rPr>
          <w:t>www.aquaexpeditions.com</w:t>
        </w:r>
      </w:hyperlink>
    </w:p>
    <w:p w14:paraId="005D8CA1" w14:textId="77777777" w:rsidR="009811AB" w:rsidRDefault="009811AB" w:rsidP="009811AB">
      <w:pPr>
        <w:spacing w:line="240" w:lineRule="auto"/>
        <w:jc w:val="both"/>
      </w:pPr>
    </w:p>
    <w:p w14:paraId="3A9140FA" w14:textId="77777777" w:rsidR="009811AB" w:rsidRPr="009811AB" w:rsidRDefault="009811AB" w:rsidP="009811AB">
      <w:pPr>
        <w:spacing w:line="240" w:lineRule="auto"/>
        <w:jc w:val="both"/>
      </w:pPr>
    </w:p>
    <w:p w14:paraId="66F1F724" w14:textId="5355C6EA" w:rsidR="00161689" w:rsidRDefault="00512630">
      <w:pPr>
        <w:spacing w:after="160" w:line="240" w:lineRule="auto"/>
        <w:jc w:val="both"/>
      </w:pPr>
      <w:r>
        <w:rPr>
          <w:b/>
          <w:bCs/>
        </w:rPr>
        <w:t>ABOUT BISON CAPITAL</w:t>
      </w:r>
    </w:p>
    <w:p w14:paraId="6BA31FFA" w14:textId="54137842" w:rsidR="00161689" w:rsidRDefault="00512630">
      <w:pPr>
        <w:spacing w:after="160" w:line="240" w:lineRule="auto"/>
        <w:jc w:val="both"/>
      </w:pPr>
      <w:r>
        <w:t xml:space="preserve">Bison Capital is a Los Angeles based private equity firm that makes growth capital investments in middle-market companies, public or private, for expansion, acquisitions, and balance sheet recapitalizations. The </w:t>
      </w:r>
      <w:r>
        <w:lastRenderedPageBreak/>
        <w:t xml:space="preserve">firm’s primary investment focus is partnering with entrepreneurs and management teams seeking capital to grow their businesses. </w:t>
      </w:r>
    </w:p>
    <w:p w14:paraId="6C0EBC58" w14:textId="77777777" w:rsidR="00161689" w:rsidRDefault="00512630">
      <w:pPr>
        <w:spacing w:after="160" w:line="240" w:lineRule="auto"/>
        <w:jc w:val="both"/>
      </w:pPr>
      <w:hyperlink r:id="rId12" w:history="1">
        <w:r>
          <w:rPr>
            <w:b/>
            <w:bCs/>
            <w:color w:val="0563C1"/>
            <w:u w:val="single" w:color="0563C1"/>
          </w:rPr>
          <w:t>www.bisoncapital.com</w:t>
        </w:r>
      </w:hyperlink>
    </w:p>
    <w:p w14:paraId="0C5C65FF" w14:textId="77777777" w:rsidR="00161689" w:rsidRDefault="00161689">
      <w:pPr>
        <w:spacing w:after="160" w:line="240" w:lineRule="auto"/>
        <w:jc w:val="both"/>
      </w:pPr>
    </w:p>
    <w:sectPr w:rsidR="00161689">
      <w:headerReference w:type="default" r:id="rId13"/>
      <w:footerReference w:type="default" r:id="rId14"/>
      <w:pgSz w:w="12240" w:h="15840"/>
      <w:pgMar w:top="1440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14202F" w14:textId="77777777" w:rsidR="00864F02" w:rsidRDefault="00864F02">
      <w:pPr>
        <w:spacing w:line="240" w:lineRule="auto"/>
      </w:pPr>
      <w:r>
        <w:separator/>
      </w:r>
    </w:p>
  </w:endnote>
  <w:endnote w:type="continuationSeparator" w:id="0">
    <w:p w14:paraId="0021238C" w14:textId="77777777" w:rsidR="00864F02" w:rsidRDefault="00864F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51DA11" w14:textId="77777777" w:rsidR="00161689" w:rsidRDefault="00512630">
    <w:pPr>
      <w:spacing w:line="240" w:lineRule="auto"/>
      <w:jc w:val="center"/>
    </w:pPr>
    <w:r>
      <w:rPr>
        <w:b/>
        <w:bCs/>
      </w:rPr>
      <w:t>Bison Capital Asset Management, LLC</w:t>
    </w:r>
  </w:p>
  <w:p w14:paraId="1D27AA73" w14:textId="77777777" w:rsidR="00161689" w:rsidRDefault="00512630">
    <w:pPr>
      <w:spacing w:line="240" w:lineRule="auto"/>
      <w:jc w:val="center"/>
    </w:pPr>
    <w:r>
      <w:t>233 Wilshire Boulevard, Suite 425, Santa Monica, CA 90401</w:t>
    </w:r>
  </w:p>
  <w:p w14:paraId="15C2C350" w14:textId="77777777" w:rsidR="00161689" w:rsidRDefault="00161689">
    <w:pPr>
      <w:spacing w:after="160" w:line="240" w:lineRule="auto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19985E" w14:textId="77777777" w:rsidR="00864F02" w:rsidRDefault="00864F02">
      <w:pPr>
        <w:spacing w:line="240" w:lineRule="auto"/>
      </w:pPr>
      <w:r>
        <w:separator/>
      </w:r>
    </w:p>
  </w:footnote>
  <w:footnote w:type="continuationSeparator" w:id="0">
    <w:p w14:paraId="4C24EDD3" w14:textId="77777777" w:rsidR="00864F02" w:rsidRDefault="00864F0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526D55" w14:textId="1B1968CE" w:rsidR="006606E6" w:rsidRDefault="00A611A1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E81BD14" wp14:editId="31B782A7">
          <wp:simplePos x="0" y="0"/>
          <wp:positionH relativeFrom="column">
            <wp:posOffset>4800600</wp:posOffset>
          </wp:positionH>
          <wp:positionV relativeFrom="paragraph">
            <wp:posOffset>-438785</wp:posOffset>
          </wp:positionV>
          <wp:extent cx="1948180" cy="908685"/>
          <wp:effectExtent l="0" t="0" r="0" b="0"/>
          <wp:wrapTight wrapText="bothSides">
            <wp:wrapPolygon edited="0">
              <wp:start x="9293" y="2264"/>
              <wp:lineTo x="6970" y="5887"/>
              <wp:lineTo x="6970" y="8604"/>
              <wp:lineTo x="10772" y="10415"/>
              <wp:lineTo x="1901" y="14491"/>
              <wp:lineTo x="845" y="15396"/>
              <wp:lineTo x="634" y="19472"/>
              <wp:lineTo x="20488" y="19472"/>
              <wp:lineTo x="21332" y="15396"/>
              <wp:lineTo x="20065" y="14491"/>
              <wp:lineTo x="10772" y="10415"/>
              <wp:lineTo x="14362" y="9962"/>
              <wp:lineTo x="14785" y="6792"/>
              <wp:lineTo x="12462" y="2264"/>
              <wp:lineTo x="9293" y="2264"/>
            </wp:wrapPolygon>
          </wp:wrapTight>
          <wp:docPr id="2135951635" name="Picture 2" descr="Aqua Expedition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Aqua Expeditions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7110" b="26223"/>
                  <a:stretch/>
                </pic:blipFill>
                <pic:spPr bwMode="auto">
                  <a:xfrm>
                    <a:off x="0" y="0"/>
                    <a:ext cx="1948180" cy="9086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87F03" w:rsidRPr="004E03A3">
      <w:rPr>
        <w:noProof/>
      </w:rPr>
      <w:drawing>
        <wp:anchor distT="0" distB="0" distL="114300" distR="114300" simplePos="0" relativeHeight="251660288" behindDoc="1" locked="0" layoutInCell="1" allowOverlap="1" wp14:anchorId="5597CE27" wp14:editId="38D659A3">
          <wp:simplePos x="0" y="0"/>
          <wp:positionH relativeFrom="column">
            <wp:posOffset>-409575</wp:posOffset>
          </wp:positionH>
          <wp:positionV relativeFrom="paragraph">
            <wp:posOffset>-191770</wp:posOffset>
          </wp:positionV>
          <wp:extent cx="2573471" cy="427355"/>
          <wp:effectExtent l="0" t="0" r="0" b="0"/>
          <wp:wrapTight wrapText="bothSides">
            <wp:wrapPolygon edited="0">
              <wp:start x="0" y="0"/>
              <wp:lineTo x="0" y="20220"/>
              <wp:lineTo x="21429" y="20220"/>
              <wp:lineTo x="21429" y="0"/>
              <wp:lineTo x="0" y="0"/>
            </wp:wrapPolygon>
          </wp:wrapTight>
          <wp:docPr id="3" name="Picture 2" descr="A picture containing text, clipart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55B5213E-5BCE-4EA2-B159-A32B8E7E7D5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 descr="A picture containing text, clipart&#10;&#10;Description automatically generated">
                    <a:extLst>
                      <a:ext uri="{FF2B5EF4-FFF2-40B4-BE49-F238E27FC236}">
                        <a16:creationId xmlns:a16="http://schemas.microsoft.com/office/drawing/2014/main" id="{55B5213E-5BCE-4EA2-B159-A32B8E7E7D5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73471" cy="4273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00000001"/>
    <w:lvl w:ilvl="0" w:tplc="8E3E666E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 w:tplc="FF28565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AB0CF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9D23B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0249D5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7547AF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340C92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13C132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D642FD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 w16cid:durableId="3168091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1689"/>
    <w:rsid w:val="0002434B"/>
    <w:rsid w:val="00024A87"/>
    <w:rsid w:val="000345C7"/>
    <w:rsid w:val="00054D78"/>
    <w:rsid w:val="000747EA"/>
    <w:rsid w:val="000749CF"/>
    <w:rsid w:val="000B2141"/>
    <w:rsid w:val="000C53F1"/>
    <w:rsid w:val="000D60EA"/>
    <w:rsid w:val="000F47F2"/>
    <w:rsid w:val="00130834"/>
    <w:rsid w:val="00161689"/>
    <w:rsid w:val="001C2AC9"/>
    <w:rsid w:val="001C326D"/>
    <w:rsid w:val="0023227D"/>
    <w:rsid w:val="00271ABE"/>
    <w:rsid w:val="00272EE2"/>
    <w:rsid w:val="002A2A6A"/>
    <w:rsid w:val="002F4B53"/>
    <w:rsid w:val="00301C82"/>
    <w:rsid w:val="00332E57"/>
    <w:rsid w:val="00375C9A"/>
    <w:rsid w:val="00392CAA"/>
    <w:rsid w:val="00425352"/>
    <w:rsid w:val="004707EF"/>
    <w:rsid w:val="00480291"/>
    <w:rsid w:val="00486DDA"/>
    <w:rsid w:val="004A3414"/>
    <w:rsid w:val="004D3E1D"/>
    <w:rsid w:val="00503BEA"/>
    <w:rsid w:val="00512630"/>
    <w:rsid w:val="00555A9B"/>
    <w:rsid w:val="00563F9D"/>
    <w:rsid w:val="00573549"/>
    <w:rsid w:val="005A6945"/>
    <w:rsid w:val="005E5F88"/>
    <w:rsid w:val="006245C4"/>
    <w:rsid w:val="0063325A"/>
    <w:rsid w:val="00634B39"/>
    <w:rsid w:val="006514F4"/>
    <w:rsid w:val="00652B07"/>
    <w:rsid w:val="006606E6"/>
    <w:rsid w:val="00686E2C"/>
    <w:rsid w:val="00691154"/>
    <w:rsid w:val="006A5DFC"/>
    <w:rsid w:val="006D4682"/>
    <w:rsid w:val="006E309E"/>
    <w:rsid w:val="00713FF0"/>
    <w:rsid w:val="00730444"/>
    <w:rsid w:val="0077272D"/>
    <w:rsid w:val="00784CB4"/>
    <w:rsid w:val="007A05A1"/>
    <w:rsid w:val="007C4C21"/>
    <w:rsid w:val="007C55AC"/>
    <w:rsid w:val="007D0736"/>
    <w:rsid w:val="007E19C4"/>
    <w:rsid w:val="007F5E21"/>
    <w:rsid w:val="00806484"/>
    <w:rsid w:val="00815B91"/>
    <w:rsid w:val="00816955"/>
    <w:rsid w:val="0083796E"/>
    <w:rsid w:val="00861B02"/>
    <w:rsid w:val="00864F02"/>
    <w:rsid w:val="008674E0"/>
    <w:rsid w:val="00876C8F"/>
    <w:rsid w:val="008A6E9D"/>
    <w:rsid w:val="008A6EF1"/>
    <w:rsid w:val="008C0833"/>
    <w:rsid w:val="008F112A"/>
    <w:rsid w:val="00905E3F"/>
    <w:rsid w:val="009337BD"/>
    <w:rsid w:val="00946498"/>
    <w:rsid w:val="009811AB"/>
    <w:rsid w:val="0098181F"/>
    <w:rsid w:val="00987F03"/>
    <w:rsid w:val="00990FB5"/>
    <w:rsid w:val="009C17C1"/>
    <w:rsid w:val="009E55B3"/>
    <w:rsid w:val="009E77B8"/>
    <w:rsid w:val="00A607F0"/>
    <w:rsid w:val="00A611A1"/>
    <w:rsid w:val="00A72D23"/>
    <w:rsid w:val="00AB216F"/>
    <w:rsid w:val="00AC7E86"/>
    <w:rsid w:val="00AD3C68"/>
    <w:rsid w:val="00AD45B4"/>
    <w:rsid w:val="00AD5391"/>
    <w:rsid w:val="00AD61EA"/>
    <w:rsid w:val="00B112A3"/>
    <w:rsid w:val="00B37153"/>
    <w:rsid w:val="00B63AAF"/>
    <w:rsid w:val="00B6565C"/>
    <w:rsid w:val="00BA263C"/>
    <w:rsid w:val="00BB7466"/>
    <w:rsid w:val="00C17E4F"/>
    <w:rsid w:val="00CB1D15"/>
    <w:rsid w:val="00CB772A"/>
    <w:rsid w:val="00CE3A95"/>
    <w:rsid w:val="00D00F3E"/>
    <w:rsid w:val="00D061EE"/>
    <w:rsid w:val="00D56A4F"/>
    <w:rsid w:val="00D71E07"/>
    <w:rsid w:val="00DD0D4D"/>
    <w:rsid w:val="00DF4F3F"/>
    <w:rsid w:val="00E422F3"/>
    <w:rsid w:val="00E846AA"/>
    <w:rsid w:val="00E91756"/>
    <w:rsid w:val="00EF1E43"/>
    <w:rsid w:val="00F57BA1"/>
    <w:rsid w:val="00F828D1"/>
    <w:rsid w:val="00F963B0"/>
    <w:rsid w:val="00FC3B02"/>
    <w:rsid w:val="00FE3C9D"/>
    <w:rsid w:val="00FE5777"/>
    <w:rsid w:val="00FF3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A8AB82"/>
  <w15:docId w15:val="{71E76388-7DE6-4508-B0A5-29B82056F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CE"/>
    <w:pPr>
      <w:spacing w:line="259" w:lineRule="auto"/>
    </w:pPr>
    <w:rPr>
      <w:rFonts w:ascii="Calibri" w:eastAsia="Calibri" w:hAnsi="Calibri"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/>
      <w:outlineLvl w:val="0"/>
    </w:pPr>
    <w:rPr>
      <w:rFonts w:ascii="Times New Roman" w:eastAsia="Times New Roman" w:hAnsi="Times New Roman" w:cs="Times New Roman"/>
      <w:b/>
      <w:bCs/>
      <w:color w:val="2F5496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/>
      <w:outlineLvl w:val="1"/>
    </w:pPr>
    <w:rPr>
      <w:rFonts w:ascii="Times New Roman" w:eastAsia="Times New Roman" w:hAnsi="Times New Roman" w:cs="Times New Roman"/>
      <w:b/>
      <w:bCs/>
      <w:color w:val="2F5496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/>
      <w:outlineLvl w:val="2"/>
    </w:pPr>
    <w:rPr>
      <w:rFonts w:ascii="Times New Roman" w:eastAsia="Times New Roman" w:hAnsi="Times New Roman" w:cs="Times New Roman"/>
      <w:b/>
      <w:bCs/>
      <w:color w:val="1F376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/>
      <w:outlineLvl w:val="3"/>
    </w:pPr>
    <w:rPr>
      <w:rFonts w:ascii="Times New Roman" w:eastAsia="Times New Roman" w:hAnsi="Times New Roman" w:cs="Times New Roman"/>
      <w:b/>
      <w:bCs/>
      <w:iCs/>
      <w:color w:val="2F5496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/>
      <w:outlineLvl w:val="4"/>
    </w:pPr>
    <w:rPr>
      <w:rFonts w:ascii="Times New Roman" w:eastAsia="Times New Roman" w:hAnsi="Times New Roman" w:cs="Times New Roman"/>
      <w:b/>
      <w:bCs/>
      <w:color w:val="2F5496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/>
      <w:outlineLvl w:val="5"/>
    </w:pPr>
    <w:rPr>
      <w:rFonts w:ascii="Times New Roman" w:eastAsia="Times New Roman" w:hAnsi="Times New Roman" w:cs="Times New Roman"/>
      <w:b/>
      <w:bCs/>
      <w:color w:val="1F3763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/>
    </w:rPr>
  </w:style>
  <w:style w:type="character" w:styleId="Hyperlink">
    <w:name w:val="Hyperlink"/>
    <w:basedOn w:val="DefaultParagraphFont"/>
    <w:uiPriority w:val="99"/>
    <w:unhideWhenUsed/>
    <w:rsid w:val="00555A9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55A9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606E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06E6"/>
    <w:rPr>
      <w:rFonts w:ascii="Calibri" w:eastAsia="Calibri" w:hAnsi="Calibri" w:cs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606E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06E6"/>
    <w:rPr>
      <w:rFonts w:ascii="Calibri" w:eastAsia="Calibri" w:hAnsi="Calibri" w:cs="Calibri"/>
      <w:sz w:val="22"/>
      <w:szCs w:val="22"/>
    </w:rPr>
  </w:style>
  <w:style w:type="paragraph" w:styleId="Revision">
    <w:name w:val="Revision"/>
    <w:hidden/>
    <w:uiPriority w:val="99"/>
    <w:semiHidden/>
    <w:rsid w:val="00816955"/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bisoncapital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quaexpeditions.com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21bcd09-07cc-44c2-b984-570974c9889a">
      <Terms xmlns="http://schemas.microsoft.com/office/infopath/2007/PartnerControls"/>
    </lcf76f155ced4ddcb4097134ff3c332f>
    <TaxCatchAll xmlns="62f322aa-858d-4292-bd1b-9b9c1b3b5034" xsi:nil="true"/>
    <_dlc_DocId xmlns="62f322aa-858d-4292-bd1b-9b9c1b3b5034">4SSKVZWM4X2N-1305214257-2975540</_dlc_DocId>
    <_dlc_DocIdUrl xmlns="62f322aa-858d-4292-bd1b-9b9c1b3b5034">
      <Url>https://bisoncapital.sharepoint.com/sites/BisonDocumentCenter/_layouts/15/DocIdRedir.aspx?ID=4SSKVZWM4X2N-1305214257-2975540</Url>
      <Description>4SSKVZWM4X2N-1305214257-2975540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44527C0CDCAE41B95B21D1DF0C3101" ma:contentTypeVersion="15" ma:contentTypeDescription="Create a new document." ma:contentTypeScope="" ma:versionID="bcbf09ec89e579b903815c1c33965eaa">
  <xsd:schema xmlns:xsd="http://www.w3.org/2001/XMLSchema" xmlns:xs="http://www.w3.org/2001/XMLSchema" xmlns:p="http://schemas.microsoft.com/office/2006/metadata/properties" xmlns:ns2="62f322aa-858d-4292-bd1b-9b9c1b3b5034" xmlns:ns3="e21bcd09-07cc-44c2-b984-570974c9889a" targetNamespace="http://schemas.microsoft.com/office/2006/metadata/properties" ma:root="true" ma:fieldsID="9f485f45cfcae1145a9a0beef843d0b5" ns2:_="" ns3:_="">
    <xsd:import namespace="62f322aa-858d-4292-bd1b-9b9c1b3b5034"/>
    <xsd:import namespace="e21bcd09-07cc-44c2-b984-570974c9889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f322aa-858d-4292-bd1b-9b9c1b3b503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1" nillable="true" ma:displayName="Taxonomy Catch All Column" ma:hidden="true" ma:list="{a51e5949-1011-4ce8-8b26-56734c83ce3f}" ma:internalName="TaxCatchAll" ma:showField="CatchAllData" ma:web="62f322aa-858d-4292-bd1b-9b9c1b3b50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1bcd09-07cc-44c2-b984-570974c988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aae45a3f-afda-43f0-927c-afa01bb1b3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69BBFDCB-D0D4-4F00-A17A-8CBDC67883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F1ECE09-9786-459E-99D6-6B6FB6FE2233}">
  <ds:schemaRefs>
    <ds:schemaRef ds:uri="http://schemas.microsoft.com/office/2006/metadata/properties"/>
    <ds:schemaRef ds:uri="http://schemas.microsoft.com/office/infopath/2007/PartnerControls"/>
    <ds:schemaRef ds:uri="e21bcd09-07cc-44c2-b984-570974c9889a"/>
    <ds:schemaRef ds:uri="62f322aa-858d-4292-bd1b-9b9c1b3b5034"/>
  </ds:schemaRefs>
</ds:datastoreItem>
</file>

<file path=customXml/itemProps3.xml><?xml version="1.0" encoding="utf-8"?>
<ds:datastoreItem xmlns:ds="http://schemas.openxmlformats.org/officeDocument/2006/customXml" ds:itemID="{20D40A81-A1B9-4932-95BD-0E2F2DE4DA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f322aa-858d-4292-bd1b-9b9c1b3b5034"/>
    <ds:schemaRef ds:uri="e21bcd09-07cc-44c2-b984-570974c988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25AD9A4-6823-4E8C-A445-18C4EBE0C36E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482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 Robertson</dc:creator>
  <cp:lastModifiedBy>Brian Moossaian</cp:lastModifiedBy>
  <cp:revision>3</cp:revision>
  <cp:lastPrinted>2024-09-09T16:45:00Z</cp:lastPrinted>
  <dcterms:created xsi:type="dcterms:W3CDTF">2025-01-16T17:58:00Z</dcterms:created>
  <dcterms:modified xsi:type="dcterms:W3CDTF">2025-01-16T18:00:00Z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0x010100E844527C0CDCAE41B95B21D1DF0C3101</vt:lpwstr>
  </property>
  <property fmtid="{D5CDD505-2E9C-101B-9397-08002B2CF9AE}" pid="3" name="_dlc_DocIdItemGuid">
    <vt:lpwstr>3eb2d395-ede4-409c-a104-34826c598539</vt:lpwstr>
  </property>
  <property fmtid="{D5CDD505-2E9C-101B-9397-08002B2CF9AE}" pid="4" name="MediaServiceImageTags">
    <vt:lpwstr/>
  </property>
</Properties>
</file>